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D2" w:rsidRDefault="00235819" w:rsidP="00357DD2">
      <w:pPr>
        <w:autoSpaceDE w:val="0"/>
        <w:autoSpaceDN w:val="0"/>
        <w:adjustRightInd w:val="0"/>
        <w:jc w:val="center"/>
        <w:rPr>
          <w:rFonts w:asciiTheme="minorHAnsi" w:eastAsia="TimesNewRomanPS-BoldMT" w:hAnsiTheme="minorHAnsi"/>
          <w:b/>
          <w:bCs/>
          <w:sz w:val="28"/>
          <w:szCs w:val="28"/>
          <w:u w:val="single"/>
          <w:lang w:eastAsia="en-US"/>
        </w:rPr>
      </w:pPr>
      <w:r>
        <w:rPr>
          <w:rFonts w:asciiTheme="minorHAnsi" w:eastAsia="TimesNewRomanPS-BoldMT" w:hAnsiTheme="minorHAnsi"/>
          <w:b/>
          <w:bCs/>
          <w:sz w:val="28"/>
          <w:szCs w:val="28"/>
          <w:u w:val="single"/>
          <w:lang w:eastAsia="en-US"/>
        </w:rPr>
        <w:t>Programme de l’</w:t>
      </w:r>
      <w:r w:rsidR="00357DD2" w:rsidRPr="00C5331C">
        <w:rPr>
          <w:rFonts w:asciiTheme="minorHAnsi" w:eastAsia="TimesNewRomanPS-BoldMT" w:hAnsiTheme="minorHAnsi"/>
          <w:b/>
          <w:bCs/>
          <w:sz w:val="28"/>
          <w:szCs w:val="28"/>
          <w:u w:val="single"/>
          <w:lang w:eastAsia="en-US"/>
        </w:rPr>
        <w:t>HISTOLOGIE</w:t>
      </w:r>
    </w:p>
    <w:p w:rsidR="00357DD2" w:rsidRDefault="00357DD2" w:rsidP="00357DD2">
      <w:pPr>
        <w:autoSpaceDE w:val="0"/>
        <w:autoSpaceDN w:val="0"/>
        <w:adjustRightInd w:val="0"/>
        <w:jc w:val="center"/>
        <w:rPr>
          <w:rFonts w:asciiTheme="minorHAnsi" w:eastAsia="TimesNewRomanPS-BoldMT" w:hAnsiTheme="minorHAnsi"/>
          <w:b/>
          <w:bCs/>
          <w:sz w:val="28"/>
          <w:szCs w:val="28"/>
          <w:u w:val="single"/>
          <w:lang w:eastAsia="en-US"/>
        </w:rPr>
      </w:pPr>
    </w:p>
    <w:p w:rsidR="00235819" w:rsidRPr="00484FEB" w:rsidRDefault="00235819" w:rsidP="00357DD2">
      <w:pPr>
        <w:autoSpaceDE w:val="0"/>
        <w:autoSpaceDN w:val="0"/>
        <w:adjustRightInd w:val="0"/>
        <w:jc w:val="center"/>
        <w:rPr>
          <w:rFonts w:asciiTheme="minorHAnsi" w:eastAsia="TimesNewRomanPS-BoldMT" w:hAnsiTheme="minorHAnsi"/>
          <w:b/>
          <w:bCs/>
          <w:sz w:val="36"/>
          <w:szCs w:val="36"/>
          <w:u w:val="single"/>
          <w:lang w:eastAsia="en-US"/>
        </w:rPr>
      </w:pPr>
    </w:p>
    <w:p w:rsidR="00235819" w:rsidRDefault="00235819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lang w:eastAsia="en-US"/>
        </w:rPr>
      </w:pPr>
    </w:p>
    <w:p w:rsidR="00357DD2" w:rsidRPr="00C5331C" w:rsidRDefault="00357DD2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lang w:eastAsia="en-US"/>
        </w:rPr>
      </w:pPr>
      <w:r w:rsidRPr="00C5331C">
        <w:rPr>
          <w:rFonts w:asciiTheme="minorHAnsi" w:eastAsia="TimesNewRomanPS-BoldMT" w:hAnsiTheme="minorHAnsi"/>
          <w:b/>
          <w:bCs/>
          <w:lang w:eastAsia="en-US"/>
        </w:rPr>
        <w:t>Chapitre I : Notions préliminaires</w:t>
      </w:r>
    </w:p>
    <w:p w:rsidR="00357DD2" w:rsidRPr="00C5331C" w:rsidRDefault="00357DD2" w:rsidP="00357DD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Theme="minorHAnsi" w:hAnsiTheme="minorHAnsi"/>
          <w:bCs/>
          <w:lang w:eastAsia="en-US"/>
        </w:rPr>
      </w:pPr>
      <w:r w:rsidRPr="00C5331C">
        <w:rPr>
          <w:rFonts w:asciiTheme="minorHAnsi" w:eastAsiaTheme="minorHAnsi" w:hAnsiTheme="minorHAnsi"/>
          <w:bCs/>
          <w:lang w:eastAsia="en-US"/>
        </w:rPr>
        <w:t>La définition d’un tissu</w:t>
      </w:r>
    </w:p>
    <w:p w:rsidR="00357DD2" w:rsidRPr="00C5331C" w:rsidRDefault="00357DD2" w:rsidP="00357DD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Theme="minorHAnsi" w:hAnsiTheme="minorHAnsi"/>
          <w:bCs/>
          <w:lang w:eastAsia="en-US"/>
        </w:rPr>
      </w:pPr>
      <w:r w:rsidRPr="00C5331C">
        <w:rPr>
          <w:rFonts w:asciiTheme="minorHAnsi" w:eastAsiaTheme="minorHAnsi" w:hAnsiTheme="minorHAnsi"/>
          <w:bCs/>
          <w:lang w:eastAsia="en-US"/>
        </w:rPr>
        <w:t>Classification des tissus</w:t>
      </w:r>
    </w:p>
    <w:p w:rsidR="00357DD2" w:rsidRPr="00C5331C" w:rsidRDefault="00357DD2" w:rsidP="00357DD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Theme="minorHAnsi" w:hAnsiTheme="minorHAnsi"/>
          <w:bCs/>
          <w:lang w:eastAsia="en-US"/>
        </w:rPr>
      </w:pPr>
      <w:r w:rsidRPr="00C5331C">
        <w:rPr>
          <w:rFonts w:asciiTheme="minorHAnsi" w:eastAsiaTheme="minorHAnsi" w:hAnsiTheme="minorHAnsi"/>
          <w:bCs/>
          <w:lang w:eastAsia="en-US"/>
        </w:rPr>
        <w:t>Notion de tissu chez l’animal</w:t>
      </w:r>
    </w:p>
    <w:p w:rsidR="00357DD2" w:rsidRPr="00C5331C" w:rsidRDefault="00357DD2" w:rsidP="00357DD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Theme="minorHAnsi" w:hAnsiTheme="minorHAnsi"/>
          <w:bCs/>
          <w:lang w:eastAsia="en-US"/>
        </w:rPr>
      </w:pPr>
      <w:r w:rsidRPr="00C5331C">
        <w:rPr>
          <w:rFonts w:asciiTheme="minorHAnsi" w:eastAsiaTheme="minorHAnsi" w:hAnsiTheme="minorHAnsi"/>
          <w:bCs/>
          <w:lang w:eastAsia="en-US"/>
        </w:rPr>
        <w:t>Coupes histologique</w:t>
      </w:r>
      <w:r>
        <w:rPr>
          <w:rFonts w:asciiTheme="minorHAnsi" w:eastAsiaTheme="minorHAnsi" w:hAnsiTheme="minorHAnsi"/>
          <w:bCs/>
          <w:lang w:eastAsia="en-US"/>
        </w:rPr>
        <w:t>s</w:t>
      </w:r>
    </w:p>
    <w:p w:rsidR="00357DD2" w:rsidRPr="00C5331C" w:rsidRDefault="00357DD2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lang w:eastAsia="en-US"/>
        </w:rPr>
      </w:pPr>
    </w:p>
    <w:p w:rsidR="00357DD2" w:rsidRPr="00C5331C" w:rsidRDefault="00357DD2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lang w:eastAsia="en-US"/>
        </w:rPr>
      </w:pPr>
      <w:r w:rsidRPr="00C5331C">
        <w:rPr>
          <w:rFonts w:asciiTheme="minorHAnsi" w:eastAsia="TimesNewRomanPS-BoldMT" w:hAnsiTheme="minorHAnsi"/>
          <w:b/>
          <w:bCs/>
          <w:lang w:eastAsia="en-US"/>
        </w:rPr>
        <w:t>Chapitre II : Tissu épithélial</w:t>
      </w:r>
    </w:p>
    <w:p w:rsidR="00357DD2" w:rsidRPr="00C5331C" w:rsidRDefault="00357DD2" w:rsidP="00357D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NewRomanPS-BoldMT" w:hAnsiTheme="minorHAnsi"/>
          <w:bCs/>
          <w:lang w:eastAsia="en-US"/>
        </w:rPr>
      </w:pPr>
      <w:r w:rsidRPr="00C5331C">
        <w:rPr>
          <w:rFonts w:asciiTheme="minorHAnsi" w:eastAsia="TimesNewRomanPS-BoldMT" w:hAnsiTheme="minorHAnsi"/>
          <w:bCs/>
          <w:lang w:eastAsia="en-US"/>
        </w:rPr>
        <w:t>Caractères généraux</w:t>
      </w:r>
    </w:p>
    <w:p w:rsidR="00357DD2" w:rsidRPr="00C5331C" w:rsidRDefault="00357DD2" w:rsidP="00357D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NewRomanPS-BoldMT" w:hAnsiTheme="minorHAnsi"/>
          <w:bCs/>
          <w:lang w:eastAsia="en-US"/>
        </w:rPr>
      </w:pPr>
      <w:r w:rsidRPr="00C5331C">
        <w:rPr>
          <w:rFonts w:asciiTheme="minorHAnsi" w:eastAsia="TimesNewRomanPS-BoldMT" w:hAnsiTheme="minorHAnsi"/>
          <w:bCs/>
          <w:lang w:eastAsia="en-US"/>
        </w:rPr>
        <w:t>Origine des épithéliums</w:t>
      </w:r>
    </w:p>
    <w:p w:rsidR="00357DD2" w:rsidRPr="00C5331C" w:rsidRDefault="00357DD2" w:rsidP="00357D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NewRomanPS-BoldMT" w:hAnsiTheme="minorHAnsi"/>
          <w:bCs/>
          <w:lang w:eastAsia="en-US"/>
        </w:rPr>
      </w:pPr>
      <w:r w:rsidRPr="00C5331C">
        <w:rPr>
          <w:rFonts w:asciiTheme="minorHAnsi" w:eastAsia="TimesNewRomanPS-BoldMT" w:hAnsiTheme="minorHAnsi"/>
          <w:bCs/>
          <w:lang w:eastAsia="en-US"/>
        </w:rPr>
        <w:t>Histogénèse et origine des glandes</w:t>
      </w:r>
    </w:p>
    <w:p w:rsidR="00357DD2" w:rsidRDefault="00357DD2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lang w:eastAsia="en-US"/>
        </w:rPr>
      </w:pPr>
    </w:p>
    <w:p w:rsidR="00357DD2" w:rsidRPr="00C5331C" w:rsidRDefault="00357DD2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color w:val="000000"/>
          <w:lang w:eastAsia="en-US"/>
        </w:rPr>
      </w:pPr>
      <w:r w:rsidRPr="00C5331C">
        <w:rPr>
          <w:rFonts w:asciiTheme="minorHAnsi" w:eastAsia="TimesNewRomanPS-BoldMT" w:hAnsiTheme="minorHAnsi"/>
          <w:b/>
          <w:bCs/>
          <w:lang w:eastAsia="en-US"/>
        </w:rPr>
        <w:t xml:space="preserve">Chapitre III : </w:t>
      </w:r>
      <w:r w:rsidRPr="00C5331C">
        <w:rPr>
          <w:rFonts w:asciiTheme="minorHAnsi" w:eastAsia="TimesNewRomanPS-BoldMT" w:hAnsiTheme="minorHAnsi"/>
          <w:b/>
          <w:bCs/>
          <w:color w:val="000000"/>
          <w:lang w:eastAsia="en-US"/>
        </w:rPr>
        <w:t>Tissus conjonctifs</w:t>
      </w:r>
    </w:p>
    <w:p w:rsidR="00357DD2" w:rsidRPr="00C5331C" w:rsidRDefault="00357DD2" w:rsidP="00357DD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NewRomanPS-BoldMT" w:hAnsiTheme="minorHAnsi"/>
          <w:bCs/>
          <w:color w:val="000000"/>
          <w:lang w:eastAsia="en-US"/>
        </w:rPr>
      </w:pPr>
      <w:r w:rsidRPr="00C5331C">
        <w:rPr>
          <w:rFonts w:asciiTheme="minorHAnsi" w:eastAsia="TimesNewRomanPS-BoldMT" w:hAnsiTheme="minorHAnsi"/>
          <w:bCs/>
          <w:color w:val="000000"/>
          <w:lang w:eastAsia="en-US"/>
        </w:rPr>
        <w:t>Généralités</w:t>
      </w:r>
    </w:p>
    <w:p w:rsidR="00357DD2" w:rsidRPr="00C5331C" w:rsidRDefault="00357DD2" w:rsidP="00357DD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NewRomanPS-BoldMT" w:hAnsiTheme="minorHAnsi"/>
          <w:bCs/>
          <w:color w:val="000000"/>
          <w:lang w:eastAsia="en-US"/>
        </w:rPr>
      </w:pPr>
      <w:r w:rsidRPr="00C5331C">
        <w:rPr>
          <w:rFonts w:asciiTheme="minorHAnsi" w:eastAsia="TimesNewRomanPS-BoldMT" w:hAnsiTheme="minorHAnsi"/>
          <w:bCs/>
          <w:color w:val="000000"/>
          <w:lang w:eastAsia="en-US"/>
        </w:rPr>
        <w:t>Constituants du tissu conjonctif</w:t>
      </w:r>
    </w:p>
    <w:p w:rsidR="00357DD2" w:rsidRPr="00C5331C" w:rsidRDefault="00357DD2" w:rsidP="00357DD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NewRomanPS-BoldMT" w:hAnsiTheme="minorHAnsi"/>
          <w:bCs/>
          <w:color w:val="000000"/>
          <w:lang w:eastAsia="en-US"/>
        </w:rPr>
      </w:pPr>
      <w:r w:rsidRPr="00C5331C">
        <w:rPr>
          <w:rFonts w:asciiTheme="minorHAnsi" w:eastAsia="TimesNewRomanPS-BoldMT" w:hAnsiTheme="minorHAnsi"/>
          <w:bCs/>
          <w:color w:val="000000"/>
          <w:lang w:eastAsia="en-US"/>
        </w:rPr>
        <w:t>Variétés  du tissu conjonctif</w:t>
      </w:r>
    </w:p>
    <w:p w:rsidR="00357DD2" w:rsidRPr="00C5331C" w:rsidRDefault="00357DD2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color w:val="000000"/>
          <w:lang w:eastAsia="en-US"/>
        </w:rPr>
      </w:pPr>
    </w:p>
    <w:p w:rsidR="00357DD2" w:rsidRPr="00C5331C" w:rsidRDefault="00357DD2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color w:val="000000"/>
          <w:lang w:eastAsia="en-US"/>
        </w:rPr>
      </w:pPr>
      <w:r w:rsidRPr="00C5331C">
        <w:rPr>
          <w:rFonts w:asciiTheme="minorHAnsi" w:eastAsia="TimesNewRomanPS-BoldMT" w:hAnsiTheme="minorHAnsi"/>
          <w:b/>
          <w:bCs/>
          <w:lang w:eastAsia="en-US"/>
        </w:rPr>
        <w:t>Chapitre IV :</w:t>
      </w:r>
      <w:r w:rsidRPr="00C5331C">
        <w:rPr>
          <w:rFonts w:asciiTheme="minorHAnsi" w:eastAsia="TimesNewRomanPS-BoldMT" w:hAnsiTheme="minorHAnsi"/>
          <w:b/>
          <w:bCs/>
          <w:color w:val="000000"/>
          <w:lang w:eastAsia="en-US"/>
        </w:rPr>
        <w:t xml:space="preserve"> Tissus squelettiques</w:t>
      </w:r>
    </w:p>
    <w:p w:rsidR="00357DD2" w:rsidRPr="00875FA3" w:rsidRDefault="00357DD2" w:rsidP="00357D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eastAsia="TimesNewRomanPS-BoldMT"/>
          <w:color w:val="000000"/>
        </w:rPr>
      </w:pPr>
      <w:r w:rsidRPr="00875FA3">
        <w:rPr>
          <w:rFonts w:eastAsia="TimesNewRomanPS-BoldMT"/>
          <w:color w:val="000000"/>
        </w:rPr>
        <w:t>Tissu  cartilagineux</w:t>
      </w:r>
    </w:p>
    <w:p w:rsidR="00357DD2" w:rsidRPr="00875FA3" w:rsidRDefault="00357DD2" w:rsidP="00357D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eastAsia="TimesNewRomanPS-BoldMT"/>
          <w:color w:val="000000"/>
        </w:rPr>
      </w:pPr>
      <w:r w:rsidRPr="00875FA3">
        <w:rPr>
          <w:rFonts w:eastAsia="TimesNewRomanPS-BoldMT"/>
          <w:color w:val="000000"/>
        </w:rPr>
        <w:t>Tissu osseux</w:t>
      </w:r>
    </w:p>
    <w:p w:rsidR="00357DD2" w:rsidRPr="00C5331C" w:rsidRDefault="00357DD2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color w:val="000000"/>
          <w:lang w:eastAsia="en-US"/>
        </w:rPr>
      </w:pPr>
      <w:r w:rsidRPr="00C5331C">
        <w:rPr>
          <w:rFonts w:asciiTheme="minorHAnsi" w:eastAsia="TimesNewRomanPS-BoldMT" w:hAnsiTheme="minorHAnsi"/>
          <w:b/>
          <w:bCs/>
          <w:lang w:eastAsia="en-US"/>
        </w:rPr>
        <w:t>Chapitre V :</w:t>
      </w:r>
      <w:r w:rsidRPr="00C5331C">
        <w:rPr>
          <w:rFonts w:asciiTheme="minorHAnsi" w:eastAsia="TimesNewRomanPS-BoldMT" w:hAnsiTheme="minorHAnsi"/>
          <w:b/>
          <w:bCs/>
          <w:color w:val="000000"/>
          <w:lang w:eastAsia="en-US"/>
        </w:rPr>
        <w:t xml:space="preserve"> T</w:t>
      </w:r>
      <w:r>
        <w:rPr>
          <w:rFonts w:asciiTheme="minorHAnsi" w:eastAsia="TimesNewRomanPS-BoldMT" w:hAnsiTheme="minorHAnsi"/>
          <w:b/>
          <w:bCs/>
          <w:color w:val="000000"/>
          <w:lang w:eastAsia="en-US"/>
        </w:rPr>
        <w:t>issu musculaire</w:t>
      </w:r>
    </w:p>
    <w:p w:rsidR="00357DD2" w:rsidRPr="00C5331C" w:rsidRDefault="00357DD2" w:rsidP="00357DD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NewRomanPSMT" w:hAnsiTheme="minorHAnsi"/>
          <w:color w:val="000000"/>
          <w:lang w:eastAsia="en-US"/>
        </w:rPr>
      </w:pPr>
      <w:r w:rsidRPr="00C5331C">
        <w:rPr>
          <w:rFonts w:asciiTheme="minorHAnsi" w:eastAsia="TimesNewRomanPSMT" w:hAnsiTheme="minorHAnsi"/>
          <w:color w:val="000000"/>
          <w:lang w:eastAsia="en-US"/>
        </w:rPr>
        <w:t xml:space="preserve">Généralités </w:t>
      </w:r>
    </w:p>
    <w:p w:rsidR="00357DD2" w:rsidRPr="00C5331C" w:rsidRDefault="00357DD2" w:rsidP="00357DD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NewRomanPSMT" w:hAnsiTheme="minorHAnsi"/>
          <w:color w:val="000000"/>
          <w:lang w:eastAsia="en-US"/>
        </w:rPr>
      </w:pPr>
      <w:r w:rsidRPr="00C5331C">
        <w:rPr>
          <w:rFonts w:asciiTheme="minorHAnsi" w:eastAsia="TimesNewRomanPSMT" w:hAnsiTheme="minorHAnsi"/>
          <w:color w:val="000000"/>
          <w:lang w:eastAsia="en-US"/>
        </w:rPr>
        <w:t xml:space="preserve">Comparaison entre les trois fibres musculaires </w:t>
      </w:r>
    </w:p>
    <w:p w:rsidR="00357DD2" w:rsidRPr="00C5331C" w:rsidRDefault="00357DD2" w:rsidP="00357DD2">
      <w:pPr>
        <w:autoSpaceDE w:val="0"/>
        <w:autoSpaceDN w:val="0"/>
        <w:adjustRightInd w:val="0"/>
        <w:rPr>
          <w:rFonts w:asciiTheme="minorHAnsi" w:eastAsia="TimesNewRomanPSMT" w:hAnsiTheme="minorHAnsi"/>
          <w:color w:val="000000"/>
          <w:lang w:eastAsia="en-US"/>
        </w:rPr>
      </w:pPr>
    </w:p>
    <w:p w:rsidR="00357DD2" w:rsidRPr="00C5331C" w:rsidRDefault="00357DD2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color w:val="000000"/>
          <w:lang w:eastAsia="en-US"/>
        </w:rPr>
      </w:pPr>
      <w:r w:rsidRPr="00C5331C">
        <w:rPr>
          <w:rFonts w:asciiTheme="minorHAnsi" w:eastAsia="TimesNewRomanPS-BoldMT" w:hAnsiTheme="minorHAnsi"/>
          <w:b/>
          <w:bCs/>
          <w:lang w:eastAsia="en-US"/>
        </w:rPr>
        <w:t xml:space="preserve">Chapitre VI : </w:t>
      </w:r>
      <w:r w:rsidRPr="00C5331C">
        <w:rPr>
          <w:rFonts w:asciiTheme="minorHAnsi" w:eastAsia="TimesNewRomanPS-BoldMT" w:hAnsiTheme="minorHAnsi"/>
          <w:b/>
          <w:bCs/>
          <w:color w:val="000000"/>
          <w:lang w:eastAsia="en-US"/>
        </w:rPr>
        <w:t xml:space="preserve">Tissu nerveux </w:t>
      </w:r>
    </w:p>
    <w:p w:rsidR="00357DD2" w:rsidRPr="00C5331C" w:rsidRDefault="00357DD2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color w:val="000000"/>
          <w:lang w:eastAsia="en-US"/>
        </w:rPr>
      </w:pPr>
    </w:p>
    <w:p w:rsidR="00357DD2" w:rsidRPr="00C5331C" w:rsidRDefault="00357DD2" w:rsidP="00357DD2">
      <w:pPr>
        <w:autoSpaceDE w:val="0"/>
        <w:autoSpaceDN w:val="0"/>
        <w:adjustRightInd w:val="0"/>
        <w:rPr>
          <w:rFonts w:asciiTheme="minorHAnsi" w:eastAsia="TimesNewRomanPS-BoldMT" w:hAnsiTheme="minorHAnsi"/>
          <w:b/>
          <w:bCs/>
          <w:color w:val="000000"/>
          <w:lang w:eastAsia="en-US"/>
        </w:rPr>
      </w:pPr>
      <w:r w:rsidRPr="00C5331C">
        <w:rPr>
          <w:rFonts w:asciiTheme="minorHAnsi" w:eastAsia="TimesNewRomanPS-BoldMT" w:hAnsiTheme="minorHAnsi"/>
          <w:b/>
          <w:bCs/>
          <w:lang w:eastAsia="en-US"/>
        </w:rPr>
        <w:t xml:space="preserve">Chapitre VII : </w:t>
      </w:r>
      <w:r w:rsidRPr="00C5331C">
        <w:rPr>
          <w:rFonts w:asciiTheme="minorHAnsi" w:eastAsia="TimesNewRomanPS-BoldMT" w:hAnsiTheme="minorHAnsi"/>
          <w:b/>
          <w:bCs/>
          <w:color w:val="000000"/>
          <w:lang w:eastAsia="en-US"/>
        </w:rPr>
        <w:t xml:space="preserve">Tissu sanguin </w:t>
      </w:r>
    </w:p>
    <w:p w:rsidR="00357DD2" w:rsidRPr="00C5331C" w:rsidRDefault="00357DD2" w:rsidP="00357DD2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/>
          <w:lang w:eastAsia="en-US"/>
        </w:rPr>
      </w:pPr>
      <w:r w:rsidRPr="00C5331C">
        <w:rPr>
          <w:rFonts w:asciiTheme="minorHAnsi" w:eastAsiaTheme="minorHAnsi" w:hAnsiTheme="minorHAnsi"/>
          <w:lang w:eastAsia="en-US"/>
        </w:rPr>
        <w:t>Généralités</w:t>
      </w:r>
    </w:p>
    <w:p w:rsidR="00357DD2" w:rsidRPr="00C5331C" w:rsidRDefault="00357DD2" w:rsidP="00357DD2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/>
          <w:lang w:eastAsia="en-US"/>
        </w:rPr>
      </w:pPr>
      <w:r w:rsidRPr="00C5331C">
        <w:rPr>
          <w:rFonts w:asciiTheme="minorHAnsi" w:eastAsiaTheme="minorHAnsi" w:hAnsiTheme="minorHAnsi"/>
          <w:lang w:eastAsia="en-US"/>
        </w:rPr>
        <w:t>Constituants du sang</w:t>
      </w:r>
    </w:p>
    <w:p w:rsidR="00357DD2" w:rsidRPr="00C5331C" w:rsidRDefault="00357DD2" w:rsidP="00357DD2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/>
          <w:lang w:eastAsia="en-US"/>
        </w:rPr>
      </w:pPr>
      <w:r w:rsidRPr="00C5331C">
        <w:rPr>
          <w:rFonts w:asciiTheme="minorHAnsi" w:eastAsiaTheme="minorHAnsi" w:hAnsiTheme="minorHAnsi"/>
          <w:lang w:eastAsia="en-US"/>
        </w:rPr>
        <w:t>Les cellules sanguines</w:t>
      </w:r>
    </w:p>
    <w:p w:rsidR="00357DD2" w:rsidRPr="00C5331C" w:rsidRDefault="00357DD2" w:rsidP="00357DD2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/>
          <w:lang w:eastAsia="en-US"/>
        </w:rPr>
      </w:pPr>
      <w:r w:rsidRPr="00C5331C">
        <w:rPr>
          <w:rFonts w:asciiTheme="minorHAnsi" w:eastAsiaTheme="minorHAnsi" w:hAnsiTheme="minorHAnsi"/>
          <w:lang w:eastAsia="en-US"/>
        </w:rPr>
        <w:t xml:space="preserve">L’hématopoïèse </w:t>
      </w:r>
    </w:p>
    <w:p w:rsidR="00357DD2" w:rsidRDefault="00357DD2" w:rsidP="00357DD2">
      <w:pPr>
        <w:jc w:val="center"/>
        <w:rPr>
          <w:rFonts w:asciiTheme="minorHAnsi" w:hAnsiTheme="minorHAnsi" w:cstheme="majorBidi"/>
          <w:b/>
          <w:bCs/>
          <w:u w:val="single"/>
        </w:rPr>
      </w:pPr>
    </w:p>
    <w:p w:rsidR="00A77A55" w:rsidRDefault="00A77A55">
      <w:bookmarkStart w:id="0" w:name="_GoBack"/>
      <w:bookmarkEnd w:id="0"/>
    </w:p>
    <w:sectPr w:rsidR="00A77A55" w:rsidSect="00E5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4FD"/>
    <w:multiLevelType w:val="hybridMultilevel"/>
    <w:tmpl w:val="DDFE1AE6"/>
    <w:lvl w:ilvl="0" w:tplc="6590D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034"/>
    <w:multiLevelType w:val="hybridMultilevel"/>
    <w:tmpl w:val="C9BA9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6FA6"/>
    <w:multiLevelType w:val="hybridMultilevel"/>
    <w:tmpl w:val="F874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1CCC"/>
    <w:multiLevelType w:val="hybridMultilevel"/>
    <w:tmpl w:val="D2DCB7AA"/>
    <w:lvl w:ilvl="0" w:tplc="6590D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503C0"/>
    <w:multiLevelType w:val="hybridMultilevel"/>
    <w:tmpl w:val="0FDCA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F1A9D"/>
    <w:multiLevelType w:val="hybridMultilevel"/>
    <w:tmpl w:val="5D2AA7CE"/>
    <w:lvl w:ilvl="0" w:tplc="6590D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18D4"/>
    <w:multiLevelType w:val="hybridMultilevel"/>
    <w:tmpl w:val="F6F6C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DD2"/>
    <w:rsid w:val="00235819"/>
    <w:rsid w:val="003236BE"/>
    <w:rsid w:val="00357DD2"/>
    <w:rsid w:val="00484FEB"/>
    <w:rsid w:val="00A77A55"/>
    <w:rsid w:val="00E5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D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D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Milou</cp:lastModifiedBy>
  <cp:revision>3</cp:revision>
  <dcterms:created xsi:type="dcterms:W3CDTF">2015-04-11T09:10:00Z</dcterms:created>
  <dcterms:modified xsi:type="dcterms:W3CDTF">2015-04-11T09:12:00Z</dcterms:modified>
</cp:coreProperties>
</file>